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5CBA7483" w14:textId="5E9B7ADA" w:rsidR="00DD6A6D" w:rsidRDefault="00545B9D" w:rsidP="00545B9D">
      <w:pPr>
        <w:rPr>
          <w:rFonts w:cstheme="minorHAnsi"/>
        </w:rPr>
      </w:pPr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https://francetransfert.numerique.gouv.fr/download/download-info-public?enclosure=021363c5-cfc8-43f2-be6e-835fbce7cf88&amp;lang=fr-FR</w:t>
        </w:r>
      </w:hyperlink>
    </w:p>
    <w:p w14:paraId="5B7B6992" w14:textId="2DF64FAC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07388345" w14:textId="77777777" w:rsidR="000566D2" w:rsidRDefault="000566D2" w:rsidP="000566D2">
      <w:pPr>
        <w:jc w:val="center"/>
        <w:rPr>
          <w:rFonts w:eastAsia="Times New Roman" w:cs="Times New Roman"/>
          <w:sz w:val="21"/>
          <w:szCs w:val="21"/>
        </w:rPr>
      </w:pPr>
      <w:bookmarkStart w:id="0" w:name="_GoBack"/>
      <w:bookmarkEnd w:id="0"/>
      <w:r>
        <w:rPr>
          <w:rFonts w:eastAsia="Times New Roman"/>
          <w:sz w:val="30"/>
          <w:szCs w:val="30"/>
        </w:rPr>
        <w:t>17oD55(+</w:t>
      </w:r>
      <w:proofErr w:type="spellStart"/>
      <w:r>
        <w:rPr>
          <w:rFonts w:eastAsia="Times New Roman"/>
          <w:sz w:val="30"/>
          <w:szCs w:val="30"/>
        </w:rPr>
        <w:t>agpZIk%IO</w:t>
      </w:r>
      <w:proofErr w:type="spellEnd"/>
    </w:p>
    <w:p w14:paraId="5D5B39C5" w14:textId="214ECD9F" w:rsidR="00DD6A6D" w:rsidRDefault="00DD6A6D" w:rsidP="00F709A0">
      <w:pPr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21773C34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0566D2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1="http://schemas.microsoft.com/office/drawing/2015/9/8/chartex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6D2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5B9D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545B9D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545B9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45B9D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021363c5-cfc8-43f2-be6e-835fbce7cf88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F2C0B8-1591-44C4-9AA9-D10971ED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BODIN Amelie</cp:lastModifiedBy>
  <cp:revision>54</cp:revision>
  <cp:lastPrinted>2025-06-16T09:51:00Z</cp:lastPrinted>
  <dcterms:created xsi:type="dcterms:W3CDTF">2025-04-25T14:06:00Z</dcterms:created>
  <dcterms:modified xsi:type="dcterms:W3CDTF">2025-07-03T14:59:00Z</dcterms:modified>
</cp:coreProperties>
</file>